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7068F" w14:textId="77777777" w:rsidR="00502BC9" w:rsidRDefault="00502BC9" w:rsidP="00502BC9">
      <w:r>
        <w:t>## Experiment Title: Characterization of Gut Microbiome Changes in Response to Prebiotic Fiber Supplementation</w:t>
      </w:r>
    </w:p>
    <w:p w14:paraId="29139BDB" w14:textId="77777777" w:rsidR="00502BC9" w:rsidRDefault="00502BC9" w:rsidP="00502BC9">
      <w:r>
        <w:t>**Date:** April 22, 2025</w:t>
      </w:r>
    </w:p>
    <w:p w14:paraId="704ED66E" w14:textId="77777777" w:rsidR="00502BC9" w:rsidRDefault="00502BC9" w:rsidP="00502BC9">
      <w:r>
        <w:t>**Researcher:** Len</w:t>
      </w:r>
    </w:p>
    <w:p w14:paraId="1B852ACE" w14:textId="77777777" w:rsidR="00502BC9" w:rsidRDefault="00502BC9" w:rsidP="00502BC9">
      <w:r>
        <w:t>**Lab/Project:** Microbiome and Nutrition Research</w:t>
      </w:r>
    </w:p>
    <w:p w14:paraId="5EC7E971" w14:textId="77777777" w:rsidR="00502BC9" w:rsidRDefault="00502BC9" w:rsidP="00502BC9"/>
    <w:p w14:paraId="36536E44" w14:textId="77777777" w:rsidR="00502BC9" w:rsidRDefault="00502BC9" w:rsidP="00502BC9">
      <w:r>
        <w:t>**Objective:**</w:t>
      </w:r>
    </w:p>
    <w:p w14:paraId="39B9F4DB" w14:textId="77777777" w:rsidR="00502BC9" w:rsidRDefault="00502BC9" w:rsidP="00502BC9">
      <w:r>
        <w:t>To analyze alterations in gut microbial composition and short-chain fatty acid (SCFA) production following a 2-week intervention with inulin-type fructans in healthy adults.</w:t>
      </w:r>
    </w:p>
    <w:p w14:paraId="2DF33A58" w14:textId="77777777" w:rsidR="00502BC9" w:rsidRDefault="00502BC9" w:rsidP="00502BC9"/>
    <w:p w14:paraId="67121211" w14:textId="77777777" w:rsidR="00502BC9" w:rsidRDefault="00502BC9" w:rsidP="00502BC9">
      <w:r>
        <w:t>**Materials &amp; Reagents:**</w:t>
      </w:r>
    </w:p>
    <w:p w14:paraId="3B4BF6AF" w14:textId="77777777" w:rsidR="00502BC9" w:rsidRDefault="00502BC9" w:rsidP="00502BC9">
      <w:r>
        <w:t>1. Sample Collection Materials:</w:t>
      </w:r>
    </w:p>
    <w:p w14:paraId="6C436F9D" w14:textId="77777777" w:rsidR="00502BC9" w:rsidRDefault="00502BC9" w:rsidP="00502BC9">
      <w:r>
        <w:t xml:space="preserve">   · Stool collection kits (DNA/RNA Shield)</w:t>
      </w:r>
    </w:p>
    <w:p w14:paraId="721DC448" w14:textId="77777777" w:rsidR="00502BC9" w:rsidRDefault="00502BC9" w:rsidP="00502BC9">
      <w:r>
        <w:t xml:space="preserve">   · Inulin supplement (10g/day)</w:t>
      </w:r>
    </w:p>
    <w:p w14:paraId="7AFFEDB9" w14:textId="77777777" w:rsidR="00502BC9" w:rsidRDefault="00502BC9" w:rsidP="00502BC9">
      <w:r>
        <w:t xml:space="preserve">   · Participant diet logs</w:t>
      </w:r>
    </w:p>
    <w:p w14:paraId="474FBDE1" w14:textId="77777777" w:rsidR="00502BC9" w:rsidRDefault="00502BC9" w:rsidP="00502BC9"/>
    <w:p w14:paraId="59343B53" w14:textId="77777777" w:rsidR="00502BC9" w:rsidRDefault="00502BC9" w:rsidP="00502BC9">
      <w:r>
        <w:t>2. Analytical Reagents:</w:t>
      </w:r>
    </w:p>
    <w:p w14:paraId="43D4D025" w14:textId="77777777" w:rsidR="00502BC9" w:rsidRDefault="00502BC9" w:rsidP="00502BC9">
      <w:r>
        <w:t xml:space="preserve">   · DNA extraction kit (QIAamp PowerFecal Pro)</w:t>
      </w:r>
    </w:p>
    <w:p w14:paraId="5641F1FC" w14:textId="77777777" w:rsidR="00502BC9" w:rsidRDefault="00502BC9" w:rsidP="00502BC9">
      <w:r>
        <w:t xml:space="preserve">   · 16S rRNA V3-V4 amplification primers</w:t>
      </w:r>
    </w:p>
    <w:p w14:paraId="3AED2285" w14:textId="77777777" w:rsidR="00502BC9" w:rsidRDefault="00502BC9" w:rsidP="00502BC9">
      <w:r>
        <w:t xml:space="preserve">   · NextSeq 500 sequencing reagents</w:t>
      </w:r>
    </w:p>
    <w:p w14:paraId="36521738" w14:textId="77777777" w:rsidR="00502BC9" w:rsidRDefault="00502BC9" w:rsidP="00502BC9">
      <w:r>
        <w:t xml:space="preserve">   · GC-MS standards for SCFAs</w:t>
      </w:r>
    </w:p>
    <w:p w14:paraId="06517D17" w14:textId="77777777" w:rsidR="00502BC9" w:rsidRDefault="00502BC9" w:rsidP="00502BC9">
      <w:r>
        <w:t xml:space="preserve">   · Internal standard (2-ethylbutyric acid)</w:t>
      </w:r>
    </w:p>
    <w:p w14:paraId="7F38823D" w14:textId="77777777" w:rsidR="00502BC9" w:rsidRDefault="00502BC9" w:rsidP="00502BC9"/>
    <w:p w14:paraId="35E968C7" w14:textId="77777777" w:rsidR="00502BC9" w:rsidRDefault="00502BC9" w:rsidP="00502BC9">
      <w:r>
        <w:t>3. Equipment:</w:t>
      </w:r>
    </w:p>
    <w:p w14:paraId="5665757B" w14:textId="77777777" w:rsidR="00502BC9" w:rsidRDefault="00502BC9" w:rsidP="00502BC9">
      <w:r>
        <w:t xml:space="preserve">   · PCR thermocycler</w:t>
      </w:r>
    </w:p>
    <w:p w14:paraId="0D58CBB3" w14:textId="77777777" w:rsidR="00502BC9" w:rsidRDefault="00502BC9" w:rsidP="00502BC9">
      <w:r>
        <w:t xml:space="preserve">   · Illumina NextSeq 500 sequencer</w:t>
      </w:r>
    </w:p>
    <w:p w14:paraId="228B479A" w14:textId="77777777" w:rsidR="00502BC9" w:rsidRDefault="00502BC9" w:rsidP="00502BC9">
      <w:r>
        <w:t xml:space="preserve">   · Gas chromatography-mass spectrometer</w:t>
      </w:r>
    </w:p>
    <w:p w14:paraId="5446B3EA" w14:textId="77777777" w:rsidR="00502BC9" w:rsidRDefault="00502BC9" w:rsidP="00502BC9">
      <w:r>
        <w:lastRenderedPageBreak/>
        <w:t xml:space="preserve">   · -80°C freezer</w:t>
      </w:r>
    </w:p>
    <w:p w14:paraId="3770F119" w14:textId="77777777" w:rsidR="00502BC9" w:rsidRDefault="00502BC9" w:rsidP="00502BC9">
      <w:r>
        <w:t xml:space="preserve">   · Homogenizer</w:t>
      </w:r>
    </w:p>
    <w:p w14:paraId="02DE24CD" w14:textId="77777777" w:rsidR="00502BC9" w:rsidRDefault="00502BC9" w:rsidP="00502BC9"/>
    <w:p w14:paraId="1F368259" w14:textId="77777777" w:rsidR="00502BC9" w:rsidRDefault="00502BC9" w:rsidP="00502BC9">
      <w:r>
        <w:t>**Procedure:**</w:t>
      </w:r>
    </w:p>
    <w:p w14:paraId="09335AD1" w14:textId="77777777" w:rsidR="00502BC9" w:rsidRDefault="00502BC9" w:rsidP="00502BC9">
      <w:r>
        <w:t>1. Recruit 20 healthy participants (10 male, 10 female, age 25-40).</w:t>
      </w:r>
    </w:p>
    <w:p w14:paraId="122FBD2D" w14:textId="77777777" w:rsidR="00502BC9" w:rsidRDefault="00502BC9" w:rsidP="00502BC9">
      <w:r>
        <w:t>2. Collect baseline stool samples before intervention.</w:t>
      </w:r>
    </w:p>
    <w:p w14:paraId="4C791222" w14:textId="77777777" w:rsidR="00502BC9" w:rsidRDefault="00502BC9" w:rsidP="00502BC9">
      <w:r>
        <w:t>3. Administer inulin supplement (10g/day) for 14 days.</w:t>
      </w:r>
    </w:p>
    <w:p w14:paraId="5BB97153" w14:textId="77777777" w:rsidR="00502BC9" w:rsidRDefault="00502BC9" w:rsidP="00502BC9">
      <w:r>
        <w:t>4. Collect post-intervention stool samples on day 15.</w:t>
      </w:r>
    </w:p>
    <w:p w14:paraId="743D6839" w14:textId="77777777" w:rsidR="00502BC9" w:rsidRDefault="00502BC9" w:rsidP="00502BC9">
      <w:r>
        <w:t>5. Extract bacterial DNA using QIAamp PowerFecal Pro kit.</w:t>
      </w:r>
    </w:p>
    <w:p w14:paraId="72D44233" w14:textId="77777777" w:rsidR="00502BC9" w:rsidRDefault="00502BC9" w:rsidP="00502BC9">
      <w:r>
        <w:t>6. Amplify V3-V4 region of 16S rRNA gene and sequence on NextSeq 500.</w:t>
      </w:r>
    </w:p>
    <w:p w14:paraId="53FC8328" w14:textId="77777777" w:rsidR="00502BC9" w:rsidRDefault="00502BC9" w:rsidP="00502BC9">
      <w:r>
        <w:t>7. Analyze microbial composition using QIIME2 and diversity metrics.</w:t>
      </w:r>
    </w:p>
    <w:p w14:paraId="19406D46" w14:textId="77777777" w:rsidR="00502BC9" w:rsidRDefault="00502BC9" w:rsidP="00502BC9">
      <w:r>
        <w:t>8. Extract and quantify SCFAs using GC-MS method.</w:t>
      </w:r>
    </w:p>
    <w:p w14:paraId="57ACE4CE" w14:textId="77777777" w:rsidR="00502BC9" w:rsidRDefault="00502BC9" w:rsidP="00502BC9">
      <w:r>
        <w:t>9. Correlate microbial changes with SCFA profiles and dietary information.</w:t>
      </w:r>
    </w:p>
    <w:p w14:paraId="1ED28C87" w14:textId="77777777" w:rsidR="00502BC9" w:rsidRDefault="00502BC9" w:rsidP="00502BC9"/>
    <w:p w14:paraId="0E65DAC8" w14:textId="77777777" w:rsidR="00502BC9" w:rsidRDefault="00502BC9" w:rsidP="00502BC9">
      <w:r>
        <w:t>**Results &amp; Observations:**</w:t>
      </w:r>
    </w:p>
    <w:p w14:paraId="7486E5EC" w14:textId="77777777" w:rsidR="00502BC9" w:rsidRDefault="00502BC9" w:rsidP="00502BC9">
      <w:r>
        <w:t>· Sequencing yielded average 125,000 high-quality reads per sample.</w:t>
      </w:r>
    </w:p>
    <w:p w14:paraId="762F8292" w14:textId="77777777" w:rsidR="00502BC9" w:rsidRDefault="00502BC9" w:rsidP="00502BC9">
      <w:r>
        <w:t>· Post-intervention microbiome showed:</w:t>
      </w:r>
    </w:p>
    <w:p w14:paraId="17B11433" w14:textId="77777777" w:rsidR="00502BC9" w:rsidRDefault="00502BC9" w:rsidP="00502BC9">
      <w:pPr>
        <w:rPr>
          <w:rFonts w:hint="eastAsia"/>
        </w:rPr>
      </w:pPr>
      <w:r>
        <w:rPr>
          <w:rFonts w:hint="eastAsia"/>
        </w:rPr>
        <w:t xml:space="preserve">  - Significant increase in alpha diversity (Shannon index 4.2 </w:t>
      </w:r>
      <w:r>
        <w:rPr>
          <w:rFonts w:hint="eastAsia"/>
        </w:rPr>
        <w:t>→</w:t>
      </w:r>
      <w:r>
        <w:rPr>
          <w:rFonts w:hint="eastAsia"/>
        </w:rPr>
        <w:t xml:space="preserve"> 5.1, p=0.003)</w:t>
      </w:r>
    </w:p>
    <w:p w14:paraId="7F60B76C" w14:textId="77777777" w:rsidR="00502BC9" w:rsidRDefault="00502BC9" w:rsidP="00502BC9">
      <w:r>
        <w:t xml:space="preserve">  - Enrichment of Bifidobacterium spp. (3.2-fold increase, p&lt;0.001)</w:t>
      </w:r>
    </w:p>
    <w:p w14:paraId="3C69B4B4" w14:textId="77777777" w:rsidR="00502BC9" w:rsidRDefault="00502BC9" w:rsidP="00502BC9">
      <w:r>
        <w:t xml:space="preserve">  - Increase in Faecalibacterium prausnitzii (2.8-fold, p=0.002)</w:t>
      </w:r>
    </w:p>
    <w:p w14:paraId="3E462AA4" w14:textId="77777777" w:rsidR="00502BC9" w:rsidRDefault="00502BC9" w:rsidP="00502BC9">
      <w:r>
        <w:t xml:space="preserve">  - Decrease in Enterobacteriaceae (0.6-fold, p=0.01)</w:t>
      </w:r>
    </w:p>
    <w:p w14:paraId="24DEB9D6" w14:textId="77777777" w:rsidR="00502BC9" w:rsidRDefault="00502BC9" w:rsidP="00502BC9">
      <w:r>
        <w:t>· SCFA analysis revealed:</w:t>
      </w:r>
    </w:p>
    <w:p w14:paraId="0F8BFB92" w14:textId="77777777" w:rsidR="00502BC9" w:rsidRDefault="00502BC9" w:rsidP="00502BC9">
      <w:pPr>
        <w:rPr>
          <w:rFonts w:hint="eastAsia"/>
        </w:rPr>
      </w:pPr>
      <w:r>
        <w:rPr>
          <w:rFonts w:hint="eastAsia"/>
        </w:rPr>
        <w:t xml:space="preserve">  - Increased total SCFA concentration (52.3 </w:t>
      </w:r>
      <w:r>
        <w:rPr>
          <w:rFonts w:hint="eastAsia"/>
        </w:rPr>
        <w:t>→</w:t>
      </w:r>
      <w:r>
        <w:rPr>
          <w:rFonts w:hint="eastAsia"/>
        </w:rPr>
        <w:t xml:space="preserve"> 78.6 </w:t>
      </w:r>
      <w:r>
        <w:rPr>
          <w:rFonts w:hint="eastAsia"/>
        </w:rPr>
        <w:t>μ</w:t>
      </w:r>
      <w:r>
        <w:rPr>
          <w:rFonts w:hint="eastAsia"/>
        </w:rPr>
        <w:t>mol/g, p&lt;0.001)</w:t>
      </w:r>
    </w:p>
    <w:p w14:paraId="083EC5B1" w14:textId="77777777" w:rsidR="00502BC9" w:rsidRDefault="00502BC9" w:rsidP="00502BC9">
      <w:pPr>
        <w:rPr>
          <w:rFonts w:hint="eastAsia"/>
        </w:rPr>
      </w:pPr>
      <w:r>
        <w:rPr>
          <w:rFonts w:hint="eastAsia"/>
        </w:rPr>
        <w:t xml:space="preserve">  - Significant increase in butyrate (10.2 </w:t>
      </w:r>
      <w:r>
        <w:rPr>
          <w:rFonts w:hint="eastAsia"/>
        </w:rPr>
        <w:t>→</w:t>
      </w:r>
      <w:r>
        <w:rPr>
          <w:rFonts w:hint="eastAsia"/>
        </w:rPr>
        <w:t xml:space="preserve"> 18.7 </w:t>
      </w:r>
      <w:r>
        <w:rPr>
          <w:rFonts w:hint="eastAsia"/>
        </w:rPr>
        <w:t>μ</w:t>
      </w:r>
      <w:r>
        <w:rPr>
          <w:rFonts w:hint="eastAsia"/>
        </w:rPr>
        <w:t>mol/g, p&lt;0.001)</w:t>
      </w:r>
    </w:p>
    <w:p w14:paraId="6B32CCDF" w14:textId="77777777" w:rsidR="00502BC9" w:rsidRDefault="00502BC9" w:rsidP="00502BC9">
      <w:r>
        <w:t xml:space="preserve">  - Moderate increase in acetate and propionate (p&lt;0.05)</w:t>
      </w:r>
    </w:p>
    <w:p w14:paraId="16EA8259" w14:textId="77777777" w:rsidR="00502BC9" w:rsidRDefault="00502BC9" w:rsidP="00502BC9">
      <w:r>
        <w:lastRenderedPageBreak/>
        <w:t>· Strong positive correlation between Faecalibacterium abundance and butyrate levels (r=0.78, p&lt;0.001).</w:t>
      </w:r>
    </w:p>
    <w:p w14:paraId="3D97430F" w14:textId="77777777" w:rsidR="00502BC9" w:rsidRDefault="00502BC9" w:rsidP="00502BC9"/>
    <w:p w14:paraId="6EF46F29" w14:textId="77777777" w:rsidR="00502BC9" w:rsidRDefault="00502BC9" w:rsidP="00502BC9">
      <w:r>
        <w:t>**Conclusion &amp; Next Steps:**</w:t>
      </w:r>
    </w:p>
    <w:p w14:paraId="32597A7F" w14:textId="77777777" w:rsidR="00502BC9" w:rsidRDefault="00502BC9" w:rsidP="00502BC9">
      <w:r>
        <w:t>· Inulin supplementation significantly modulated gut microbiota composition and enhanced SCFA production, particularly butyrate.</w:t>
      </w:r>
    </w:p>
    <w:p w14:paraId="2DBD24B1" w14:textId="77777777" w:rsidR="00502BC9" w:rsidRDefault="00502BC9" w:rsidP="00502BC9">
      <w:r>
        <w:t>· The bifidogenic effect confirms previous literature on prebiotic properties of inulin.</w:t>
      </w:r>
    </w:p>
    <w:p w14:paraId="4C3569E0" w14:textId="77777777" w:rsidR="00502BC9" w:rsidRDefault="00502BC9" w:rsidP="00502BC9">
      <w:r>
        <w:t>· Next experiments will include metagenomic sequencing to identify functional changes in microbial communities.</w:t>
      </w:r>
    </w:p>
    <w:p w14:paraId="382B8C78" w14:textId="77777777" w:rsidR="00502BC9" w:rsidRDefault="00502BC9" w:rsidP="00502BC9">
      <w:r>
        <w:t>· Plan to investigate host metabolic parameters in relation to microbiome changes.</w:t>
      </w:r>
    </w:p>
    <w:p w14:paraId="250A1F1A" w14:textId="77777777" w:rsidR="00047FB9" w:rsidRDefault="00047FB9"/>
    <w:sectPr w:rsidR="00047F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BC9"/>
    <w:rsid w:val="00047FB9"/>
    <w:rsid w:val="000A69CD"/>
    <w:rsid w:val="00152F5C"/>
    <w:rsid w:val="002D68FE"/>
    <w:rsid w:val="00502BC9"/>
    <w:rsid w:val="0056237F"/>
    <w:rsid w:val="005E195E"/>
    <w:rsid w:val="00E67675"/>
    <w:rsid w:val="00EE2535"/>
    <w:rsid w:val="00F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ED448D9"/>
  <w15:chartTrackingRefBased/>
  <w15:docId w15:val="{FC840647-A1B0-124F-BC3E-54D1B6DF0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TW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BC9"/>
  </w:style>
  <w:style w:type="paragraph" w:styleId="Heading1">
    <w:name w:val="heading 1"/>
    <w:basedOn w:val="Normal"/>
    <w:next w:val="Normal"/>
    <w:link w:val="Heading1Char"/>
    <w:uiPriority w:val="9"/>
    <w:qFormat/>
    <w:rsid w:val="00502B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2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2B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2B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2B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2B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2B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2B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2B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B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2B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2B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2BC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2BC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2B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2B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2B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2B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2B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2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2B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2B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2B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B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2B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2BC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B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BC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2B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Len</dc:creator>
  <cp:keywords/>
  <dc:description/>
  <cp:lastModifiedBy>Lin, Len</cp:lastModifiedBy>
  <cp:revision>1</cp:revision>
  <dcterms:created xsi:type="dcterms:W3CDTF">2025-04-20T16:10:00Z</dcterms:created>
  <dcterms:modified xsi:type="dcterms:W3CDTF">2025-04-20T16:10:00Z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2025-04-20T16:10:42Z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7ac070d5-fcce-41e3-b853-1f5256407be9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